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B00" w:rsidRPr="00BE5B00" w:rsidRDefault="00BE5B00" w:rsidP="00BE5B0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5B0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                                   Żychlin, dnia 08.03.2012 r.</w:t>
      </w:r>
    </w:p>
    <w:p w:rsidR="00BE5B00" w:rsidRPr="00BE5B00" w:rsidRDefault="00BE5B00" w:rsidP="00BE5B0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5B00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 </w:t>
      </w:r>
    </w:p>
    <w:p w:rsidR="00BE5B00" w:rsidRPr="00BE5B00" w:rsidRDefault="00BE5B00" w:rsidP="00BE5B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5B0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</w:t>
      </w:r>
    </w:p>
    <w:p w:rsidR="00BE5B00" w:rsidRPr="00BE5B00" w:rsidRDefault="00BE5B00" w:rsidP="00BE5B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5B0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BPI 271.2.14.2012</w:t>
      </w:r>
    </w:p>
    <w:p w:rsidR="00BE5B00" w:rsidRPr="00BE5B00" w:rsidRDefault="00BE5B00" w:rsidP="00BE5B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5B00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 </w:t>
      </w:r>
    </w:p>
    <w:p w:rsidR="00BE5B00" w:rsidRPr="00BE5B00" w:rsidRDefault="00BE5B00" w:rsidP="00BE5B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5B0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</w:t>
      </w:r>
    </w:p>
    <w:p w:rsidR="00BE5B00" w:rsidRPr="00BE5B00" w:rsidRDefault="00BE5B00" w:rsidP="00BE5B0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5B00">
        <w:rPr>
          <w:rFonts w:ascii="Tahoma" w:eastAsia="Times New Roman" w:hAnsi="Tahoma" w:cs="Tahoma"/>
          <w:b/>
          <w:bCs/>
          <w:color w:val="000000"/>
          <w:lang w:eastAsia="pl-PL"/>
        </w:rPr>
        <w:t>Zawiadomienie o wyniku postępowania – część I zamówienia</w:t>
      </w:r>
    </w:p>
    <w:p w:rsidR="00BE5B00" w:rsidRPr="00BE5B00" w:rsidRDefault="00BE5B00" w:rsidP="00BE5B0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5B00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 </w:t>
      </w:r>
    </w:p>
    <w:p w:rsidR="00BE5B00" w:rsidRPr="00BE5B00" w:rsidRDefault="00BE5B00" w:rsidP="00BE5B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5B0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</w:t>
      </w:r>
    </w:p>
    <w:p w:rsidR="00BE5B00" w:rsidRPr="00BE5B00" w:rsidRDefault="00BE5B00" w:rsidP="00BE5B00">
      <w:pPr>
        <w:shd w:val="clear" w:color="auto" w:fill="FFFFFF"/>
        <w:spacing w:after="0" w:line="240" w:lineRule="auto"/>
        <w:ind w:left="1080" w:hanging="1080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5B0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Dotyczy:  </w:t>
      </w:r>
      <w:r w:rsidRPr="00BE5B00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BE5B0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postępowania o udzielenie zamówienia publicznego prowadzonego w trybie</w:t>
      </w:r>
      <w:r w:rsidRPr="00BE5B00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BE5B0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przetargu nieograniczonego na ubezpieczenie majątku i innych interesów Gminy Żychlin wraz z jednostkami organizacyjnymi.</w:t>
      </w:r>
    </w:p>
    <w:p w:rsidR="00BE5B00" w:rsidRPr="00BE5B00" w:rsidRDefault="00BE5B00" w:rsidP="00BE5B00">
      <w:pPr>
        <w:shd w:val="clear" w:color="auto" w:fill="FFFFFF"/>
        <w:spacing w:after="0" w:line="240" w:lineRule="auto"/>
        <w:ind w:left="1080" w:hanging="1080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5B0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                                  </w:t>
      </w:r>
    </w:p>
    <w:p w:rsidR="00BE5B00" w:rsidRPr="00BE5B00" w:rsidRDefault="00BE5B00" w:rsidP="00BE5B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5B0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        </w:t>
      </w:r>
      <w:r w:rsidRPr="00BE5B00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E5B0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Działając na podstawie art. 92 ust. 1 ustawy z dnia 29 stycznia 2004 roku Prawo zamówień publicznych (tekst jednolity Dz.U z 2010 r. nr 113, poz. 759 z późn. zm.)zawiadamiam o wyniku postępowania, dotyczącego części I zamówienia - ubezpieczenie majątku i odpowiedzialności cywilnej Gminy Żychlin wraz z jednostkami organizacyjnymi.</w:t>
      </w:r>
    </w:p>
    <w:p w:rsidR="00BE5B00" w:rsidRPr="00BE5B00" w:rsidRDefault="00BE5B00" w:rsidP="00BE5B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5B0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BE5B00" w:rsidRPr="00BE5B00" w:rsidRDefault="00BE5B00" w:rsidP="00BE5B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5B0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1. </w:t>
      </w:r>
      <w:r w:rsidRPr="00BE5B00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E5B0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 najkorzystniejszą uznana została oferta nr 2, złożona przez   </w:t>
      </w:r>
      <w:r w:rsidRPr="00BE5B00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E5B0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InterRisk T.U. S.A. Vienna Insurance Group, Oddział w Łodzi, ul. Łąkowa 29, 909-554 Łódź.</w:t>
      </w:r>
    </w:p>
    <w:p w:rsidR="00BE5B00" w:rsidRPr="00BE5B00" w:rsidRDefault="00BE5B00" w:rsidP="00BE5B00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5B0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    </w:t>
      </w:r>
      <w:r w:rsidRPr="00BE5B00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E5B0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Uzasadniając dokonany wybór informuję, że oferta ta uzyskała najwyższą łączną ilość punktów z obu kryteriów oceny (cena 80%, warunki fakultatywne 20%) spośród wszystkich ofert.</w:t>
      </w:r>
    </w:p>
    <w:p w:rsidR="00BE5B00" w:rsidRPr="00BE5B00" w:rsidRDefault="00BE5B00" w:rsidP="00BE5B00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5B0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    </w:t>
      </w:r>
      <w:r w:rsidRPr="00BE5B00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BE5B0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2.</w:t>
      </w:r>
      <w:r w:rsidRPr="00BE5B00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E5B0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terminie zgodnym ze specyfikacją istotnych warunków zamówienia, poza ofertą opisaną w punkcie „1” powyżej, oferty na część I zamówienia złożyli także następujący Wykonawcy:</w:t>
      </w:r>
    </w:p>
    <w:p w:rsidR="00BE5B00" w:rsidRPr="00BE5B00" w:rsidRDefault="00BE5B00" w:rsidP="00BE5B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5B0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a)</w:t>
      </w:r>
      <w:r w:rsidRPr="00BE5B00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</w:t>
      </w:r>
      <w:r w:rsidRPr="00BE5B00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BE5B0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oferta nr 1: Concordia Polska TUW Przedstawicielstwo Łódź, ul. Północna 27/29, 91-420 Łódź;</w:t>
      </w:r>
    </w:p>
    <w:p w:rsidR="00BE5B00" w:rsidRPr="00BE5B00" w:rsidRDefault="00BE5B00" w:rsidP="00BE5B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5B0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b)</w:t>
      </w:r>
      <w:r w:rsidRPr="00BE5B00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</w:t>
      </w:r>
      <w:r w:rsidRPr="00BE5B00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BE5B0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oferta nr 3: Polski Związek Motorowy TU S.A. Vienna Insurance Group, Oddział Regionalny w Warszawie, Filia w Łodzi, ul. Sienkiewicza 48, 90-009 Łódź;</w:t>
      </w:r>
    </w:p>
    <w:p w:rsidR="00BE5B00" w:rsidRPr="00BE5B00" w:rsidRDefault="00BE5B00" w:rsidP="00BE5B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5B0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c)</w:t>
      </w:r>
      <w:r w:rsidRPr="00BE5B00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</w:t>
      </w:r>
      <w:r w:rsidRPr="00BE5B00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BE5B0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oferta nr 5: Towarzystwo Ubezpieczeń Wzajemnych, Biuro Regionalne w Łodzi, Oddział w Kutnie, ul. </w:t>
      </w:r>
      <w:r w:rsidRPr="00BE5B00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E5B0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Zduńska 9, 99-300 Kutno</w:t>
      </w:r>
    </w:p>
    <w:p w:rsidR="00BE5B00" w:rsidRPr="00BE5B00" w:rsidRDefault="00BE5B00" w:rsidP="00BE5B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5B0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BE5B00" w:rsidRPr="00BE5B00" w:rsidRDefault="00BE5B00" w:rsidP="00BE5B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5B0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3.</w:t>
      </w:r>
      <w:r w:rsidRPr="00BE5B00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E5B0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kryterium „cena” (waga 80%) poszczególni Wykonawcy otrzymali następującą ilość punktów:</w:t>
      </w:r>
    </w:p>
    <w:p w:rsidR="00BE5B00" w:rsidRPr="00BE5B00" w:rsidRDefault="00BE5B00" w:rsidP="00BE5B00">
      <w:pPr>
        <w:shd w:val="clear" w:color="auto" w:fill="FFFFFF"/>
        <w:spacing w:after="0" w:line="240" w:lineRule="auto"/>
        <w:ind w:left="1080" w:hanging="1080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5B0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a)</w:t>
      </w:r>
      <w:r w:rsidRPr="00BE5B00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</w:t>
      </w:r>
      <w:r w:rsidRPr="00BE5B00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BE5B0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P.Z.M. T.U. S.A. – 80 pkt (najniższa cena)</w:t>
      </w:r>
    </w:p>
    <w:p w:rsidR="00BE5B00" w:rsidRPr="00BE5B00" w:rsidRDefault="00BE5B00" w:rsidP="00BE5B00">
      <w:pPr>
        <w:shd w:val="clear" w:color="auto" w:fill="FFFFFF"/>
        <w:spacing w:after="0" w:line="240" w:lineRule="auto"/>
        <w:ind w:left="1080" w:hanging="1080"/>
        <w:jc w:val="both"/>
        <w:rPr>
          <w:rFonts w:ascii="Tahoma" w:eastAsia="Times New Roman" w:hAnsi="Tahoma" w:cs="Tahoma"/>
          <w:color w:val="000000"/>
          <w:sz w:val="13"/>
          <w:szCs w:val="13"/>
          <w:lang w:val="en-US" w:eastAsia="pl-PL"/>
        </w:rPr>
      </w:pPr>
      <w:r w:rsidRPr="00BE5B00">
        <w:rPr>
          <w:rFonts w:ascii="Tahoma" w:eastAsia="Times New Roman" w:hAnsi="Tahoma" w:cs="Tahoma"/>
          <w:color w:val="000000"/>
          <w:sz w:val="18"/>
          <w:szCs w:val="18"/>
          <w:lang w:val="en-US" w:eastAsia="pl-PL"/>
        </w:rPr>
        <w:t>b)</w:t>
      </w:r>
      <w:r w:rsidRPr="00BE5B00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pl-PL"/>
        </w:rPr>
        <w:t>  </w:t>
      </w:r>
      <w:r w:rsidRPr="00BE5B00">
        <w:rPr>
          <w:rFonts w:ascii="Times New Roman" w:eastAsia="Times New Roman" w:hAnsi="Times New Roman" w:cs="Times New Roman"/>
          <w:color w:val="000000"/>
          <w:sz w:val="14"/>
          <w:lang w:val="en-US" w:eastAsia="pl-PL"/>
        </w:rPr>
        <w:t> </w:t>
      </w:r>
      <w:r w:rsidRPr="00BE5B00">
        <w:rPr>
          <w:rFonts w:ascii="Tahoma" w:eastAsia="Times New Roman" w:hAnsi="Tahoma" w:cs="Tahoma"/>
          <w:color w:val="000000"/>
          <w:sz w:val="18"/>
          <w:szCs w:val="18"/>
          <w:lang w:val="en-US" w:eastAsia="pl-PL"/>
        </w:rPr>
        <w:t>InterRisk T.U. S.A. – 76,23 pkt</w:t>
      </w:r>
    </w:p>
    <w:p w:rsidR="00BE5B00" w:rsidRPr="00BE5B00" w:rsidRDefault="00BE5B00" w:rsidP="00BE5B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val="en-US" w:eastAsia="pl-PL"/>
        </w:rPr>
      </w:pPr>
      <w:r w:rsidRPr="00BE5B00">
        <w:rPr>
          <w:rFonts w:ascii="Tahoma" w:eastAsia="Times New Roman" w:hAnsi="Tahoma" w:cs="Tahoma"/>
          <w:color w:val="000000"/>
          <w:sz w:val="18"/>
          <w:szCs w:val="18"/>
          <w:lang w:val="en-US" w:eastAsia="pl-PL"/>
        </w:rPr>
        <w:t>c)</w:t>
      </w:r>
      <w:r w:rsidRPr="00BE5B00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pl-PL"/>
        </w:rPr>
        <w:t>  </w:t>
      </w:r>
      <w:r w:rsidRPr="00BE5B00">
        <w:rPr>
          <w:rFonts w:ascii="Times New Roman" w:eastAsia="Times New Roman" w:hAnsi="Times New Roman" w:cs="Times New Roman"/>
          <w:color w:val="000000"/>
          <w:sz w:val="14"/>
          <w:lang w:val="en-US" w:eastAsia="pl-PL"/>
        </w:rPr>
        <w:t> </w:t>
      </w:r>
      <w:r w:rsidRPr="00BE5B00">
        <w:rPr>
          <w:rFonts w:ascii="Tahoma" w:eastAsia="Times New Roman" w:hAnsi="Tahoma" w:cs="Tahoma"/>
          <w:color w:val="000000"/>
          <w:sz w:val="18"/>
          <w:szCs w:val="18"/>
          <w:lang w:val="en-US" w:eastAsia="pl-PL"/>
        </w:rPr>
        <w:t>Concordia TUW – 70,58 pkt</w:t>
      </w:r>
    </w:p>
    <w:p w:rsidR="00BE5B00" w:rsidRPr="00BE5B00" w:rsidRDefault="00BE5B00" w:rsidP="00BE5B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val="en-US" w:eastAsia="pl-PL"/>
        </w:rPr>
      </w:pPr>
      <w:r w:rsidRPr="00BE5B00">
        <w:rPr>
          <w:rFonts w:ascii="Tahoma" w:eastAsia="Times New Roman" w:hAnsi="Tahoma" w:cs="Tahoma"/>
          <w:color w:val="000000"/>
          <w:sz w:val="18"/>
          <w:szCs w:val="18"/>
          <w:lang w:val="en-US" w:eastAsia="pl-PL"/>
        </w:rPr>
        <w:t>d)</w:t>
      </w:r>
      <w:r w:rsidRPr="00BE5B00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pl-PL"/>
        </w:rPr>
        <w:t>  </w:t>
      </w:r>
      <w:r w:rsidRPr="00BE5B00">
        <w:rPr>
          <w:rFonts w:ascii="Times New Roman" w:eastAsia="Times New Roman" w:hAnsi="Times New Roman" w:cs="Times New Roman"/>
          <w:color w:val="000000"/>
          <w:sz w:val="14"/>
          <w:lang w:val="en-US" w:eastAsia="pl-PL"/>
        </w:rPr>
        <w:t> </w:t>
      </w:r>
      <w:r w:rsidRPr="00BE5B00">
        <w:rPr>
          <w:rFonts w:ascii="Tahoma" w:eastAsia="Times New Roman" w:hAnsi="Tahoma" w:cs="Tahoma"/>
          <w:color w:val="000000"/>
          <w:sz w:val="18"/>
          <w:szCs w:val="18"/>
          <w:lang w:val="en-US" w:eastAsia="pl-PL"/>
        </w:rPr>
        <w:t>TUW “TUW” – 45,09 pkt</w:t>
      </w:r>
    </w:p>
    <w:p w:rsidR="00BE5B00" w:rsidRPr="00BE5B00" w:rsidRDefault="00BE5B00" w:rsidP="00BE5B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val="en-US" w:eastAsia="pl-PL"/>
        </w:rPr>
      </w:pPr>
      <w:r w:rsidRPr="00BE5B00">
        <w:rPr>
          <w:rFonts w:ascii="Tahoma" w:eastAsia="Times New Roman" w:hAnsi="Tahoma" w:cs="Tahoma"/>
          <w:color w:val="000000"/>
          <w:sz w:val="18"/>
          <w:szCs w:val="18"/>
          <w:lang w:val="en-US" w:eastAsia="pl-PL"/>
        </w:rPr>
        <w:t> </w:t>
      </w:r>
    </w:p>
    <w:p w:rsidR="00BE5B00" w:rsidRPr="00BE5B00" w:rsidRDefault="00BE5B00" w:rsidP="00BE5B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5B0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4.</w:t>
      </w:r>
      <w:r w:rsidRPr="00BE5B00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E5B0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kryterium „klauzule dodatkowe i inne postanowienia szczególne fakultatywne” (20%) poszczególni Wykonawcy otrzymali następującą ilość punktów:</w:t>
      </w:r>
    </w:p>
    <w:p w:rsidR="00BE5B00" w:rsidRPr="00BE5B00" w:rsidRDefault="00BE5B00" w:rsidP="00BE5B00">
      <w:pPr>
        <w:shd w:val="clear" w:color="auto" w:fill="FFFFFF"/>
        <w:spacing w:after="0" w:line="240" w:lineRule="auto"/>
        <w:ind w:left="1080" w:hanging="1080"/>
        <w:jc w:val="both"/>
        <w:rPr>
          <w:rFonts w:ascii="Tahoma" w:eastAsia="Times New Roman" w:hAnsi="Tahoma" w:cs="Tahoma"/>
          <w:color w:val="000000"/>
          <w:sz w:val="13"/>
          <w:szCs w:val="13"/>
          <w:lang w:val="en-US" w:eastAsia="pl-PL"/>
        </w:rPr>
      </w:pPr>
      <w:r w:rsidRPr="00BE5B00">
        <w:rPr>
          <w:rFonts w:ascii="Tahoma" w:eastAsia="Times New Roman" w:hAnsi="Tahoma" w:cs="Tahoma"/>
          <w:color w:val="000000"/>
          <w:sz w:val="18"/>
          <w:szCs w:val="18"/>
          <w:lang w:val="en-US" w:eastAsia="pl-PL"/>
        </w:rPr>
        <w:t>a)</w:t>
      </w:r>
      <w:r w:rsidRPr="00BE5B00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pl-PL"/>
        </w:rPr>
        <w:t>  </w:t>
      </w:r>
      <w:r w:rsidRPr="00BE5B00">
        <w:rPr>
          <w:rFonts w:ascii="Times New Roman" w:eastAsia="Times New Roman" w:hAnsi="Times New Roman" w:cs="Times New Roman"/>
          <w:color w:val="000000"/>
          <w:sz w:val="14"/>
          <w:lang w:val="en-US" w:eastAsia="pl-PL"/>
        </w:rPr>
        <w:t> </w:t>
      </w:r>
      <w:r w:rsidRPr="00BE5B00">
        <w:rPr>
          <w:rFonts w:ascii="Tahoma" w:eastAsia="Times New Roman" w:hAnsi="Tahoma" w:cs="Tahoma"/>
          <w:color w:val="000000"/>
          <w:sz w:val="18"/>
          <w:szCs w:val="18"/>
          <w:lang w:val="en-US" w:eastAsia="pl-PL"/>
        </w:rPr>
        <w:t>Concordia TUW – 15,60 pkt</w:t>
      </w:r>
    </w:p>
    <w:p w:rsidR="00BE5B00" w:rsidRPr="00BE5B00" w:rsidRDefault="00BE5B00" w:rsidP="00BE5B00">
      <w:pPr>
        <w:shd w:val="clear" w:color="auto" w:fill="FFFFFF"/>
        <w:spacing w:after="0" w:line="240" w:lineRule="auto"/>
        <w:ind w:left="1080" w:hanging="1080"/>
        <w:jc w:val="both"/>
        <w:rPr>
          <w:rFonts w:ascii="Tahoma" w:eastAsia="Times New Roman" w:hAnsi="Tahoma" w:cs="Tahoma"/>
          <w:color w:val="000000"/>
          <w:sz w:val="13"/>
          <w:szCs w:val="13"/>
          <w:lang w:val="en-US" w:eastAsia="pl-PL"/>
        </w:rPr>
      </w:pPr>
      <w:r w:rsidRPr="00BE5B00">
        <w:rPr>
          <w:rFonts w:ascii="Tahoma" w:eastAsia="Times New Roman" w:hAnsi="Tahoma" w:cs="Tahoma"/>
          <w:color w:val="000000"/>
          <w:sz w:val="18"/>
          <w:szCs w:val="18"/>
          <w:lang w:val="en-US" w:eastAsia="pl-PL"/>
        </w:rPr>
        <w:t>b)</w:t>
      </w:r>
      <w:r w:rsidRPr="00BE5B00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pl-PL"/>
        </w:rPr>
        <w:t>  </w:t>
      </w:r>
      <w:r w:rsidRPr="00BE5B00">
        <w:rPr>
          <w:rFonts w:ascii="Times New Roman" w:eastAsia="Times New Roman" w:hAnsi="Times New Roman" w:cs="Times New Roman"/>
          <w:color w:val="000000"/>
          <w:sz w:val="14"/>
          <w:lang w:val="en-US" w:eastAsia="pl-PL"/>
        </w:rPr>
        <w:t> </w:t>
      </w:r>
      <w:r w:rsidRPr="00BE5B00">
        <w:rPr>
          <w:rFonts w:ascii="Tahoma" w:eastAsia="Times New Roman" w:hAnsi="Tahoma" w:cs="Tahoma"/>
          <w:color w:val="000000"/>
          <w:sz w:val="18"/>
          <w:szCs w:val="18"/>
          <w:lang w:val="en-US" w:eastAsia="pl-PL"/>
        </w:rPr>
        <w:t>InterRisk T.U. S.A. – 14,40 pkt</w:t>
      </w:r>
    </w:p>
    <w:p w:rsidR="00BE5B00" w:rsidRPr="00BE5B00" w:rsidRDefault="00BE5B00" w:rsidP="00BE5B00">
      <w:pPr>
        <w:shd w:val="clear" w:color="auto" w:fill="FFFFFF"/>
        <w:spacing w:after="0" w:line="240" w:lineRule="auto"/>
        <w:ind w:left="1080" w:hanging="1080"/>
        <w:jc w:val="both"/>
        <w:rPr>
          <w:rFonts w:ascii="Tahoma" w:eastAsia="Times New Roman" w:hAnsi="Tahoma" w:cs="Tahoma"/>
          <w:color w:val="000000"/>
          <w:sz w:val="13"/>
          <w:szCs w:val="13"/>
          <w:lang w:val="en-US" w:eastAsia="pl-PL"/>
        </w:rPr>
      </w:pPr>
      <w:r w:rsidRPr="00BE5B00">
        <w:rPr>
          <w:rFonts w:ascii="Tahoma" w:eastAsia="Times New Roman" w:hAnsi="Tahoma" w:cs="Tahoma"/>
          <w:color w:val="000000"/>
          <w:sz w:val="18"/>
          <w:szCs w:val="18"/>
          <w:lang w:val="en-US" w:eastAsia="pl-PL"/>
        </w:rPr>
        <w:t>c)</w:t>
      </w:r>
      <w:r w:rsidRPr="00BE5B00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pl-PL"/>
        </w:rPr>
        <w:t>  </w:t>
      </w:r>
      <w:r w:rsidRPr="00BE5B00">
        <w:rPr>
          <w:rFonts w:ascii="Times New Roman" w:eastAsia="Times New Roman" w:hAnsi="Times New Roman" w:cs="Times New Roman"/>
          <w:color w:val="000000"/>
          <w:sz w:val="14"/>
          <w:lang w:val="en-US" w:eastAsia="pl-PL"/>
        </w:rPr>
        <w:t> </w:t>
      </w:r>
      <w:r w:rsidRPr="00BE5B00">
        <w:rPr>
          <w:rFonts w:ascii="Tahoma" w:eastAsia="Times New Roman" w:hAnsi="Tahoma" w:cs="Tahoma"/>
          <w:color w:val="000000"/>
          <w:sz w:val="18"/>
          <w:szCs w:val="18"/>
          <w:lang w:val="en-US" w:eastAsia="pl-PL"/>
        </w:rPr>
        <w:t>P.Z.M. T.U. S.A. – 10,60 pkt</w:t>
      </w:r>
    </w:p>
    <w:p w:rsidR="00BE5B00" w:rsidRPr="00BE5B00" w:rsidRDefault="00BE5B00" w:rsidP="00BE5B00">
      <w:pPr>
        <w:shd w:val="clear" w:color="auto" w:fill="FFFFFF"/>
        <w:spacing w:after="0" w:line="240" w:lineRule="auto"/>
        <w:ind w:left="1080" w:hanging="1080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5B0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d)</w:t>
      </w:r>
      <w:r w:rsidRPr="00BE5B00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</w:t>
      </w:r>
      <w:r w:rsidRPr="00BE5B00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BE5B0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TUW „TUW” – 10,20 pkt</w:t>
      </w:r>
    </w:p>
    <w:p w:rsidR="00BE5B00" w:rsidRPr="00BE5B00" w:rsidRDefault="00BE5B00" w:rsidP="00BE5B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5B0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BE5B00" w:rsidRPr="00BE5B00" w:rsidRDefault="00BE5B00" w:rsidP="00BE5B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5B0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5.</w:t>
      </w:r>
      <w:r w:rsidRPr="00BE5B00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E5B0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Łącznie poszczególni Wykonawcy otrzymali następującą ilość punktów:</w:t>
      </w:r>
    </w:p>
    <w:p w:rsidR="00BE5B00" w:rsidRPr="00BE5B00" w:rsidRDefault="00BE5B00" w:rsidP="00BE5B00">
      <w:pPr>
        <w:shd w:val="clear" w:color="auto" w:fill="FFFFFF"/>
        <w:spacing w:after="0" w:line="240" w:lineRule="auto"/>
        <w:ind w:left="1080" w:hanging="1080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5B00">
        <w:rPr>
          <w:rFonts w:ascii="Tahoma" w:eastAsia="Times New Roman" w:hAnsi="Tahoma" w:cs="Tahoma"/>
          <w:color w:val="000000"/>
          <w:sz w:val="18"/>
          <w:szCs w:val="18"/>
          <w:lang w:val="en-US" w:eastAsia="pl-PL"/>
        </w:rPr>
        <w:t>a)</w:t>
      </w:r>
      <w:r w:rsidRPr="00BE5B00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pl-PL"/>
        </w:rPr>
        <w:t>   </w:t>
      </w:r>
      <w:r w:rsidRPr="00BE5B00">
        <w:rPr>
          <w:rFonts w:ascii="Times New Roman" w:eastAsia="Times New Roman" w:hAnsi="Times New Roman" w:cs="Times New Roman"/>
          <w:color w:val="000000"/>
          <w:sz w:val="14"/>
          <w:lang w:val="en-US" w:eastAsia="pl-PL"/>
        </w:rPr>
        <w:t> </w:t>
      </w:r>
      <w:r w:rsidRPr="00BE5B00">
        <w:rPr>
          <w:rFonts w:ascii="Tahoma" w:eastAsia="Times New Roman" w:hAnsi="Tahoma" w:cs="Tahoma"/>
          <w:color w:val="000000"/>
          <w:sz w:val="18"/>
          <w:szCs w:val="18"/>
          <w:lang w:val="en-US" w:eastAsia="pl-PL"/>
        </w:rPr>
        <w:t>InterRisk T.U. S.A. – 90,63 pkt</w:t>
      </w:r>
    </w:p>
    <w:p w:rsidR="00BE5B00" w:rsidRPr="00BE5B00" w:rsidRDefault="00BE5B00" w:rsidP="00BE5B00">
      <w:pPr>
        <w:shd w:val="clear" w:color="auto" w:fill="FFFFFF"/>
        <w:spacing w:after="0" w:line="240" w:lineRule="auto"/>
        <w:ind w:left="1080" w:hanging="1080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5B00">
        <w:rPr>
          <w:rFonts w:ascii="Tahoma" w:eastAsia="Times New Roman" w:hAnsi="Tahoma" w:cs="Tahoma"/>
          <w:color w:val="000000"/>
          <w:sz w:val="18"/>
          <w:szCs w:val="18"/>
          <w:lang w:val="en-US" w:eastAsia="pl-PL"/>
        </w:rPr>
        <w:t>b)</w:t>
      </w:r>
      <w:r w:rsidRPr="00BE5B00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pl-PL"/>
        </w:rPr>
        <w:t>   </w:t>
      </w:r>
      <w:r w:rsidRPr="00BE5B00">
        <w:rPr>
          <w:rFonts w:ascii="Times New Roman" w:eastAsia="Times New Roman" w:hAnsi="Times New Roman" w:cs="Times New Roman"/>
          <w:color w:val="000000"/>
          <w:sz w:val="14"/>
          <w:lang w:val="en-US" w:eastAsia="pl-PL"/>
        </w:rPr>
        <w:t> </w:t>
      </w:r>
      <w:r w:rsidRPr="00BE5B00">
        <w:rPr>
          <w:rFonts w:ascii="Tahoma" w:eastAsia="Times New Roman" w:hAnsi="Tahoma" w:cs="Tahoma"/>
          <w:color w:val="000000"/>
          <w:sz w:val="18"/>
          <w:szCs w:val="18"/>
          <w:lang w:val="en-US" w:eastAsia="pl-PL"/>
        </w:rPr>
        <w:t>P.Z.M. T.U. S.A. – 90,60 pkt</w:t>
      </w:r>
    </w:p>
    <w:p w:rsidR="00BE5B00" w:rsidRPr="00BE5B00" w:rsidRDefault="00BE5B00" w:rsidP="00BE5B00">
      <w:pPr>
        <w:shd w:val="clear" w:color="auto" w:fill="FFFFFF"/>
        <w:spacing w:after="0" w:line="240" w:lineRule="auto"/>
        <w:ind w:left="1080" w:hanging="1080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5B00">
        <w:rPr>
          <w:rFonts w:ascii="Tahoma" w:eastAsia="Times New Roman" w:hAnsi="Tahoma" w:cs="Tahoma"/>
          <w:color w:val="000000"/>
          <w:sz w:val="18"/>
          <w:szCs w:val="18"/>
          <w:lang w:val="en-US" w:eastAsia="pl-PL"/>
        </w:rPr>
        <w:t>c)</w:t>
      </w:r>
      <w:r w:rsidRPr="00BE5B00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pl-PL"/>
        </w:rPr>
        <w:t>    </w:t>
      </w:r>
      <w:r w:rsidRPr="00BE5B00">
        <w:rPr>
          <w:rFonts w:ascii="Times New Roman" w:eastAsia="Times New Roman" w:hAnsi="Times New Roman" w:cs="Times New Roman"/>
          <w:color w:val="000000"/>
          <w:sz w:val="14"/>
          <w:lang w:val="en-US" w:eastAsia="pl-PL"/>
        </w:rPr>
        <w:t> </w:t>
      </w:r>
      <w:r w:rsidRPr="00BE5B00">
        <w:rPr>
          <w:rFonts w:ascii="Tahoma" w:eastAsia="Times New Roman" w:hAnsi="Tahoma" w:cs="Tahoma"/>
          <w:color w:val="000000"/>
          <w:sz w:val="18"/>
          <w:szCs w:val="18"/>
          <w:lang w:val="en-US" w:eastAsia="pl-PL"/>
        </w:rPr>
        <w:t>Concordia TUW – 86,18 pkt</w:t>
      </w:r>
    </w:p>
    <w:p w:rsidR="00BE5B00" w:rsidRPr="00BE5B00" w:rsidRDefault="00BE5B00" w:rsidP="00BE5B00">
      <w:pPr>
        <w:shd w:val="clear" w:color="auto" w:fill="FFFFFF"/>
        <w:spacing w:after="0" w:line="240" w:lineRule="auto"/>
        <w:ind w:left="1080" w:hanging="1080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5B00">
        <w:rPr>
          <w:rFonts w:ascii="Tahoma" w:eastAsia="Times New Roman" w:hAnsi="Tahoma" w:cs="Tahoma"/>
          <w:color w:val="000000"/>
          <w:sz w:val="18"/>
          <w:szCs w:val="18"/>
          <w:lang w:val="en-US" w:eastAsia="pl-PL"/>
        </w:rPr>
        <w:t>d)</w:t>
      </w:r>
      <w:r w:rsidRPr="00BE5B00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pl-PL"/>
        </w:rPr>
        <w:t>   </w:t>
      </w:r>
      <w:r w:rsidRPr="00BE5B00">
        <w:rPr>
          <w:rFonts w:ascii="Times New Roman" w:eastAsia="Times New Roman" w:hAnsi="Times New Roman" w:cs="Times New Roman"/>
          <w:color w:val="000000"/>
          <w:sz w:val="14"/>
          <w:lang w:val="en-US" w:eastAsia="pl-PL"/>
        </w:rPr>
        <w:t> </w:t>
      </w:r>
      <w:r w:rsidRPr="00BE5B00">
        <w:rPr>
          <w:rFonts w:ascii="Tahoma" w:eastAsia="Times New Roman" w:hAnsi="Tahoma" w:cs="Tahoma"/>
          <w:color w:val="000000"/>
          <w:sz w:val="18"/>
          <w:szCs w:val="18"/>
          <w:lang w:val="en-US" w:eastAsia="pl-PL"/>
        </w:rPr>
        <w:t>TUW “TUW” – 55,29 pkt</w:t>
      </w:r>
    </w:p>
    <w:p w:rsidR="00BE5B00" w:rsidRPr="00BE5B00" w:rsidRDefault="00BE5B00" w:rsidP="00BE5B00">
      <w:p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5B0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</w:t>
      </w:r>
    </w:p>
    <w:p w:rsidR="00BE5B00" w:rsidRPr="00BE5B00" w:rsidRDefault="00BE5B00" w:rsidP="00BE5B00">
      <w:p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5B0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Zgodnie z ustalonymi kryteriami oceny za najkorzystniejszą uznaje się ofertę, która uzyska największą łączną ilość punktów.</w:t>
      </w:r>
      <w:r w:rsidRPr="00BE5B00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BE5B00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pl-PL"/>
        </w:rPr>
        <w:t>W związku z powyższym wybrana została oferta InterRisk T.U. S.A. Vienna Insurance Group, Oddział w Łodzi, ul. Łąkowa 29,</w:t>
      </w:r>
      <w:r w:rsidRPr="00BE5B00">
        <w:rPr>
          <w:rFonts w:ascii="Tahoma" w:eastAsia="Times New Roman" w:hAnsi="Tahoma" w:cs="Tahoma"/>
          <w:b/>
          <w:bCs/>
          <w:color w:val="000000"/>
          <w:sz w:val="18"/>
          <w:u w:val="single"/>
          <w:lang w:eastAsia="pl-PL"/>
        </w:rPr>
        <w:t> </w:t>
      </w:r>
      <w:r w:rsidRPr="00BE5B00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pl-PL"/>
        </w:rPr>
        <w:t> 909-554 Łódź</w:t>
      </w:r>
    </w:p>
    <w:p w:rsidR="00BE5B00" w:rsidRPr="00BE5B00" w:rsidRDefault="00BE5B00" w:rsidP="00BE5B00">
      <w:p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5B00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 </w:t>
      </w:r>
    </w:p>
    <w:p w:rsidR="00BE5B00" w:rsidRPr="00BE5B00" w:rsidRDefault="00BE5B00" w:rsidP="00BE5B00">
      <w:p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5B00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 </w:t>
      </w:r>
    </w:p>
    <w:p w:rsidR="00BE5B00" w:rsidRPr="00BE5B00" w:rsidRDefault="00BE5B00" w:rsidP="00BE5B00">
      <w:p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5B0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</w:t>
      </w:r>
    </w:p>
    <w:p w:rsidR="00BE5B00" w:rsidRPr="00BE5B00" w:rsidRDefault="00BE5B00" w:rsidP="00BE5B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BE5B00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pl-PL"/>
        </w:rPr>
        <w:t>                                                 Burmistrz Gminy Żychlin</w:t>
      </w:r>
    </w:p>
    <w:p w:rsidR="00BE5B00" w:rsidRPr="00BE5B00" w:rsidRDefault="00BE5B00" w:rsidP="00BE5B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5B0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                                               /-/ Grzegorz Ambroziak</w:t>
      </w:r>
    </w:p>
    <w:p w:rsidR="00D66073" w:rsidRDefault="00D66073"/>
    <w:sectPr w:rsidR="00D66073" w:rsidSect="00D66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BE5B00"/>
    <w:rsid w:val="00BE5B00"/>
    <w:rsid w:val="00D66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0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BE5B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1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2015-06-25T06:37:00Z</dcterms:created>
  <dcterms:modified xsi:type="dcterms:W3CDTF">2015-06-25T06:37:00Z</dcterms:modified>
</cp:coreProperties>
</file>